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MBIR™ Recording &amp; Media Policy</w:t>
      </w:r>
    </w:p>
    <w:p>
      <w:pPr>
        <w:jc w:val="center"/>
      </w:pPr>
      <w:r>
        <w:rPr>
          <w:i/>
          <w:sz w:val="22"/>
        </w:rPr>
        <w:t>Professional Governance Resource</w:t>
      </w:r>
    </w:p>
    <w:p/>
    <w:p>
      <w:r>
        <w:rPr>
          <w:b/>
          <w:sz w:val="32"/>
        </w:rPr>
        <w:t>Purpose of This Policy</w:t>
      </w:r>
    </w:p>
    <w:p>
      <w:r>
        <w:t>This policy is designed to support safe, ethical, trauma-informed, and professionally responsible use of recordings, media, demonstrations, educational content, and digital materials within MBIR™ practice, mentoring, supervision, training, and communication.</w:t>
      </w:r>
    </w:p>
    <w:p/>
    <w:p>
      <w:r>
        <w:rPr>
          <w:b/>
          <w:sz w:val="32"/>
        </w:rPr>
        <w:t>Recording Awareness &amp; Consent</w:t>
      </w:r>
    </w:p>
    <w:p>
      <w:pPr>
        <w:pStyle w:val="ListBullet"/>
      </w:pPr>
      <w:r>
        <w:t>Sessions, demonstrations, mentoring calls, training events, or educational activities should not be recorded without appropriate informed consent.</w:t>
      </w:r>
    </w:p>
    <w:p>
      <w:pPr>
        <w:pStyle w:val="ListBullet"/>
      </w:pPr>
      <w:r>
        <w:t>Participants should be informed of the purpose, intended use, and potential distribution of recordings where applicable.</w:t>
      </w:r>
    </w:p>
    <w:p>
      <w:pPr>
        <w:pStyle w:val="ListBullet"/>
      </w:pPr>
      <w:r>
        <w:t>Consent should be obtained before using recordings for educational, promotional, training, supervision, mentoring, or social media purposes.</w:t>
      </w:r>
    </w:p>
    <w:p/>
    <w:p>
      <w:r>
        <w:rPr>
          <w:b/>
          <w:sz w:val="32"/>
        </w:rPr>
        <w:t>Educational &amp; Training Use</w:t>
      </w:r>
    </w:p>
    <w:p>
      <w:pPr>
        <w:pStyle w:val="ListBullet"/>
      </w:pPr>
      <w:r>
        <w:t>Recordings may be used to support practitioner learning, supervision, mentoring, or professional education where appropriate consent has been obtained.</w:t>
      </w:r>
    </w:p>
    <w:p>
      <w:pPr>
        <w:pStyle w:val="ListBullet"/>
      </w:pPr>
      <w:r>
        <w:t>Practitioners should remain aware of confidentiality, privacy, and participant dignity when using educational recordings.</w:t>
      </w:r>
    </w:p>
    <w:p>
      <w:pPr>
        <w:pStyle w:val="ListBullet"/>
      </w:pPr>
      <w:r>
        <w:t>Reasonable efforts should be made to minimise unnecessary exposure of personal or sensitive information.</w:t>
      </w:r>
    </w:p>
    <w:p/>
    <w:p>
      <w:r>
        <w:rPr>
          <w:b/>
          <w:sz w:val="32"/>
        </w:rPr>
        <w:t>Social Media &amp; Public Sharing</w:t>
      </w:r>
    </w:p>
    <w:p>
      <w:pPr>
        <w:pStyle w:val="ListBullet"/>
      </w:pPr>
      <w:r>
        <w:t>Practitioners should remain aware of ethical responsibilities when sharing media online.</w:t>
      </w:r>
    </w:p>
    <w:p>
      <w:pPr>
        <w:pStyle w:val="ListBullet"/>
      </w:pPr>
      <w:r>
        <w:t>Content shared publicly should support professionalism, client safety, and trauma-informed representation.</w:t>
      </w:r>
    </w:p>
    <w:p>
      <w:pPr>
        <w:pStyle w:val="ListBullet"/>
      </w:pPr>
      <w:r>
        <w:t>Recordings or clips should not be used in ways that exploit vulnerability, distress, or emotionally sensitive material.</w:t>
      </w:r>
    </w:p>
    <w:p/>
    <w:p>
      <w:r>
        <w:rPr>
          <w:b/>
          <w:sz w:val="32"/>
        </w:rPr>
        <w:t>Confidentiality &amp; Privacy</w:t>
      </w:r>
    </w:p>
    <w:p>
      <w:pPr>
        <w:pStyle w:val="ListBullet"/>
      </w:pPr>
      <w:r>
        <w:t>Practitioners remain responsible for protecting confidentiality and privacy where recordings are created or stored.</w:t>
      </w:r>
    </w:p>
    <w:p>
      <w:pPr>
        <w:pStyle w:val="ListBullet"/>
      </w:pPr>
      <w:r>
        <w:t>Storage systems should be managed responsibly and securely where possible.</w:t>
      </w:r>
    </w:p>
    <w:p>
      <w:pPr>
        <w:pStyle w:val="ListBullet"/>
      </w:pPr>
      <w:r>
        <w:t>Practitioners should remain aware of the limitations and risks associated with digital storage and online platforms.</w:t>
      </w:r>
    </w:p>
    <w:p/>
    <w:p>
      <w:r>
        <w:rPr>
          <w:b/>
          <w:sz w:val="32"/>
        </w:rPr>
        <w:t>Withdrawal of Consent</w:t>
      </w:r>
    </w:p>
    <w:p>
      <w:pPr>
        <w:pStyle w:val="ListBullet"/>
      </w:pPr>
      <w:r>
        <w:t>Where possible, participants should be informed of their ability to withdraw consent relating to future use of recordings.</w:t>
      </w:r>
    </w:p>
    <w:p>
      <w:pPr>
        <w:pStyle w:val="ListBullet"/>
      </w:pPr>
      <w:r>
        <w:t>Practitioners should respond respectfully and professionally to requests relating to removal or limitation of content.</w:t>
      </w:r>
    </w:p>
    <w:p/>
    <w:p>
      <w:r>
        <w:rPr>
          <w:b/>
          <w:sz w:val="32"/>
        </w:rPr>
        <w:t>Anonymisation &amp; Sensitive Information</w:t>
      </w:r>
    </w:p>
    <w:p>
      <w:pPr>
        <w:pStyle w:val="ListBullet"/>
      </w:pPr>
      <w:r>
        <w:t>Practitioners are encouraged to anonymise personal or identifying information where appropriate.</w:t>
      </w:r>
    </w:p>
    <w:p>
      <w:pPr>
        <w:pStyle w:val="ListBullet"/>
      </w:pPr>
      <w:r>
        <w:t>Additional care should be taken when working with emotionally sensitive, trauma-related, or vulnerable material.</w:t>
      </w:r>
    </w:p>
    <w:p/>
    <w:p>
      <w:r>
        <w:rPr>
          <w:b/>
          <w:sz w:val="32"/>
        </w:rPr>
        <w:t>Professional Responsibility</w:t>
      </w:r>
    </w:p>
    <w:p>
      <w:pPr>
        <w:pStyle w:val="ListBullet"/>
      </w:pPr>
      <w:r>
        <w:t>Professional responsibility remains with the practitioner rather than the technology or platform.</w:t>
      </w:r>
    </w:p>
    <w:p>
      <w:pPr>
        <w:pStyle w:val="ListBullet"/>
      </w:pPr>
      <w:r>
        <w:t>Practitioners remain responsible for ethical judgement, informed consent, and appropriate professional conduct.</w:t>
      </w:r>
    </w:p>
    <w:p>
      <w:pPr>
        <w:pStyle w:val="ListBullet"/>
      </w:pPr>
      <w:r>
        <w:t>Media and recordings should support professionalism, safety, and responsible representation of MBIR™ practice.</w:t>
      </w:r>
    </w:p>
    <w:p/>
    <w:p>
      <w:r>
        <w:rPr>
          <w:b/>
          <w:sz w:val="32"/>
        </w:rPr>
        <w:t>Important Clarification</w:t>
      </w:r>
    </w:p>
    <w:p>
      <w:r>
        <w:t>This policy is intended as professional guidance and educational support and does not constitute legal advice. Practitioners remain responsible for complying with applicable laws, regulations, insurance requirements, and professional responsibilities within their own jurisdiction.</w:t>
      </w:r>
    </w:p>
    <w:p/>
    <w:p>
      <w:pPr>
        <w:jc w:val="center"/>
      </w:pPr>
      <w:r>
        <w:rPr>
          <w:i/>
          <w:sz w:val="20"/>
        </w:rPr>
        <w:t>© 2026 Tania A Prince | MBIR™ International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