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MBIR™ Professional Communication Guidelines</w:t>
      </w:r>
    </w:p>
    <w:p>
      <w:pPr>
        <w:jc w:val="center"/>
      </w:pPr>
      <w:r>
        <w:rPr>
          <w:i/>
          <w:sz w:val="22"/>
        </w:rPr>
        <w:t>Professional Governance Resource</w:t>
      </w:r>
    </w:p>
    <w:p/>
    <w:p>
      <w:r>
        <w:rPr>
          <w:b/>
          <w:sz w:val="32"/>
        </w:rPr>
        <w:t>Purpose of These Guidelines</w:t>
      </w:r>
    </w:p>
    <w:p>
      <w:r>
        <w:t>These guidelines are designed to support safe, ethical, trauma-informed, and professionally responsible communication within MBIR™ practice, mentoring, training, supervision, and public representation.</w:t>
      </w:r>
    </w:p>
    <w:p/>
    <w:p>
      <w:r>
        <w:rPr>
          <w:b/>
          <w:sz w:val="32"/>
        </w:rPr>
        <w:t>Professional Communication Standards</w:t>
      </w:r>
    </w:p>
    <w:p>
      <w:pPr>
        <w:pStyle w:val="ListBullet"/>
      </w:pPr>
      <w:r>
        <w:t>Practitioners are encouraged to maintain respectful, clear, and professional communication across digital and in-person environments.</w:t>
      </w:r>
    </w:p>
    <w:p>
      <w:pPr>
        <w:pStyle w:val="ListBullet"/>
      </w:pPr>
      <w:r>
        <w:t>Communication should support client safety, professionalism, and ethical practice.</w:t>
      </w:r>
    </w:p>
    <w:p>
      <w:pPr>
        <w:pStyle w:val="ListBullet"/>
      </w:pPr>
      <w:r>
        <w:t>Practitioners remain aware of the impact tone, pacing, and language may have on emotionally activated or vulnerable individuals.</w:t>
      </w:r>
    </w:p>
    <w:p/>
    <w:p>
      <w:r>
        <w:rPr>
          <w:b/>
          <w:sz w:val="32"/>
        </w:rPr>
        <w:t>Email &amp; Messaging Communication</w:t>
      </w:r>
    </w:p>
    <w:p>
      <w:pPr>
        <w:pStyle w:val="ListBullet"/>
      </w:pPr>
      <w:r>
        <w:t>Professional boundaries should be maintained within email, messaging, and digital communication systems.</w:t>
      </w:r>
    </w:p>
    <w:p>
      <w:pPr>
        <w:pStyle w:val="ListBullet"/>
      </w:pPr>
      <w:r>
        <w:t>Practitioners are encouraged to communicate clearly regarding response times, availability, and communication expectations.</w:t>
      </w:r>
    </w:p>
    <w:p>
      <w:pPr>
        <w:pStyle w:val="ListBullet"/>
      </w:pPr>
      <w:r>
        <w:t>Sensitive conversations may be more appropriate within formal sessions rather than informal messaging systems.</w:t>
      </w:r>
    </w:p>
    <w:p/>
    <w:p>
      <w:r>
        <w:rPr>
          <w:b/>
          <w:sz w:val="32"/>
        </w:rPr>
        <w:t>Social Media &amp; Public Communication</w:t>
      </w:r>
    </w:p>
    <w:p>
      <w:pPr>
        <w:pStyle w:val="ListBullet"/>
      </w:pPr>
      <w:r>
        <w:t>Public communication should support professionalism, trauma-informed awareness, and responsible representation of MBIR™ practice.</w:t>
      </w:r>
    </w:p>
    <w:p>
      <w:pPr>
        <w:pStyle w:val="ListBullet"/>
      </w:pPr>
      <w:r>
        <w:t>Practitioners should avoid exaggerated, misleading, or inappropriate claims.</w:t>
      </w:r>
    </w:p>
    <w:p>
      <w:pPr>
        <w:pStyle w:val="ListBullet"/>
      </w:pPr>
      <w:r>
        <w:t>Social media content should remain respectful, ethical, and professionally appropriate.</w:t>
      </w:r>
    </w:p>
    <w:p/>
    <w:p>
      <w:r>
        <w:rPr>
          <w:b/>
          <w:sz w:val="32"/>
        </w:rPr>
        <w:t>Practitioner Groups &amp; Online Communities</w:t>
      </w:r>
    </w:p>
    <w:p>
      <w:pPr>
        <w:pStyle w:val="ListBullet"/>
      </w:pPr>
      <w:r>
        <w:t>Professional standards should be maintained within online practitioner communities, groups, and forums.</w:t>
      </w:r>
    </w:p>
    <w:p>
      <w:pPr>
        <w:pStyle w:val="ListBullet"/>
      </w:pPr>
      <w:r>
        <w:t>Practitioners are encouraged to communicate respectfully and professionally with colleagues and peers.</w:t>
      </w:r>
    </w:p>
    <w:p>
      <w:pPr>
        <w:pStyle w:val="ListBullet"/>
      </w:pPr>
      <w:r>
        <w:t>Confidential or identifying client information should not be shared inappropriately within group environments.</w:t>
      </w:r>
    </w:p>
    <w:p/>
    <w:p>
      <w:r>
        <w:rPr>
          <w:b/>
          <w:sz w:val="32"/>
        </w:rPr>
        <w:t>Trauma-Informed Communication Awareness</w:t>
      </w:r>
    </w:p>
    <w:p>
      <w:pPr>
        <w:pStyle w:val="ListBullet"/>
      </w:pPr>
      <w:r>
        <w:t>Communication should remain aware of overwhelm, activation, shame, fear, or vulnerability.</w:t>
      </w:r>
    </w:p>
    <w:p>
      <w:pPr>
        <w:pStyle w:val="ListBullet"/>
      </w:pPr>
      <w:r>
        <w:t>Practitioners are encouraged to maintain calm, respectful, and non-shaming communication styles.</w:t>
      </w:r>
    </w:p>
    <w:p>
      <w:pPr>
        <w:pStyle w:val="ListBullet"/>
      </w:pPr>
      <w:r>
        <w:t>Professional communication should support safety, dignity, and nervous-system-aware interaction.</w:t>
      </w:r>
    </w:p>
    <w:p/>
    <w:p>
      <w:r>
        <w:rPr>
          <w:b/>
          <w:sz w:val="32"/>
        </w:rPr>
        <w:t>Public Representation &amp; Professional Integrity</w:t>
      </w:r>
    </w:p>
    <w:p>
      <w:pPr>
        <w:pStyle w:val="ListBullet"/>
      </w:pPr>
      <w:r>
        <w:t>Practitioners remain responsible for representing qualifications, services, and professional experience accurately.</w:t>
      </w:r>
    </w:p>
    <w:p>
      <w:pPr>
        <w:pStyle w:val="ListBullet"/>
      </w:pPr>
      <w:r>
        <w:t>Professional integrity includes maintaining honesty, clarity, and ethical representation.</w:t>
      </w:r>
    </w:p>
    <w:p>
      <w:pPr>
        <w:pStyle w:val="ListBullet"/>
      </w:pPr>
      <w:r>
        <w:t>Communication should support trust, safety, and professionalism within MBIR™ practice.</w:t>
      </w:r>
    </w:p>
    <w:p/>
    <w:p>
      <w:r>
        <w:rPr>
          <w:b/>
          <w:sz w:val="32"/>
        </w:rPr>
        <w:t>Conflict, Concerns &amp; Professional Conduct</w:t>
      </w:r>
    </w:p>
    <w:p>
      <w:pPr>
        <w:pStyle w:val="ListBullet"/>
      </w:pPr>
      <w:r>
        <w:t>Practitioners are encouraged to respond professionally and respectfully to concerns, misunderstandings, or disagreements.</w:t>
      </w:r>
    </w:p>
    <w:p>
      <w:pPr>
        <w:pStyle w:val="ListBullet"/>
      </w:pPr>
      <w:r>
        <w:t>Professional conduct includes maintaining respectful communication even during challenging interactions.</w:t>
      </w:r>
    </w:p>
    <w:p>
      <w:pPr>
        <w:pStyle w:val="ListBullet"/>
      </w:pPr>
      <w:r>
        <w:t>Reflective practice and professional self-awareness are encouraged.</w:t>
      </w:r>
    </w:p>
    <w:p/>
    <w:p>
      <w:r>
        <w:rPr>
          <w:b/>
          <w:sz w:val="32"/>
        </w:rPr>
        <w:t>Important Clarification</w:t>
      </w:r>
    </w:p>
    <w:p>
      <w:r>
        <w:t>These guidelines are intended as professional educational support and do not constitute legal advice. Practitioners remain responsible for complying with relevant laws, regulations, insurance requirements, and professional responsibilities within their own jurisdiction.</w:t>
      </w:r>
    </w:p>
    <w:p/>
    <w:p>
      <w:pPr>
        <w:jc w:val="center"/>
      </w:pPr>
      <w:r>
        <w:rPr>
          <w:i/>
          <w:sz w:val="20"/>
        </w:rPr>
        <w:t>© 2026 Tania A Prince | MBIR™ International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