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8"/>
        </w:rPr>
        <w:t>MBIR™ Ethical AI &amp; Technology Guidance</w:t>
      </w:r>
    </w:p>
    <w:p>
      <w:pPr>
        <w:jc w:val="center"/>
      </w:pPr>
      <w:r>
        <w:rPr>
          <w:i/>
          <w:sz w:val="22"/>
        </w:rPr>
        <w:t>Professional Governance Resource</w:t>
      </w:r>
    </w:p>
    <w:p/>
    <w:p>
      <w:r>
        <w:rPr>
          <w:b/>
          <w:sz w:val="32"/>
        </w:rPr>
        <w:t>Purpose of This Guidance</w:t>
      </w:r>
    </w:p>
    <w:p>
      <w:r>
        <w:t>This document is designed to support safe, ethical, trauma-informed, and professionally responsible use of digital technology and artificial intelligence within MBIR™ practice, mentoring, education, and communication.</w:t>
      </w:r>
    </w:p>
    <w:p/>
    <w:p>
      <w:r>
        <w:rPr>
          <w:b/>
          <w:sz w:val="32"/>
        </w:rPr>
        <w:t>Technology &amp; Practitioner Responsibility</w:t>
      </w:r>
    </w:p>
    <w:p>
      <w:pPr>
        <w:pStyle w:val="ListBullet"/>
      </w:pPr>
      <w:r>
        <w:t>Practitioners remain responsible for professional judgement and ethical decision-making when using digital tools or AI systems.</w:t>
      </w:r>
    </w:p>
    <w:p>
      <w:pPr>
        <w:pStyle w:val="ListBullet"/>
      </w:pPr>
      <w:r>
        <w:t>Technology should support — not replace — professional awareness, ethical responsibility, or human oversight.</w:t>
      </w:r>
    </w:p>
    <w:p>
      <w:pPr>
        <w:pStyle w:val="ListBullet"/>
      </w:pPr>
      <w:r>
        <w:t>Practitioners remain accountable for the safe and appropriate use of digital systems within their scope of practice.</w:t>
      </w:r>
    </w:p>
    <w:p/>
    <w:p>
      <w:r>
        <w:rPr>
          <w:b/>
          <w:sz w:val="32"/>
        </w:rPr>
        <w:t>AI Note-Taking &amp; Automated Summaries</w:t>
      </w:r>
    </w:p>
    <w:p>
      <w:pPr>
        <w:pStyle w:val="ListBullet"/>
      </w:pPr>
      <w:r>
        <w:t>Practitioners should remain transparent about the use of AI note-taking or transcription systems where applicable.</w:t>
      </w:r>
    </w:p>
    <w:p>
      <w:pPr>
        <w:pStyle w:val="ListBullet"/>
      </w:pPr>
      <w:r>
        <w:t>Clients should be informed where AI-generated summaries, transcripts, or digital processing systems are being used.</w:t>
      </w:r>
    </w:p>
    <w:p>
      <w:pPr>
        <w:pStyle w:val="ListBullet"/>
      </w:pPr>
      <w:r>
        <w:t>Practitioners remain responsible for reviewing the accuracy, appropriateness, and confidentiality of AI-generated content.</w:t>
      </w:r>
    </w:p>
    <w:p/>
    <w:p>
      <w:r>
        <w:rPr>
          <w:b/>
          <w:sz w:val="32"/>
        </w:rPr>
        <w:t>Confidentiality &amp; Privacy Awareness</w:t>
      </w:r>
    </w:p>
    <w:p>
      <w:pPr>
        <w:pStyle w:val="ListBullet"/>
      </w:pPr>
      <w:r>
        <w:t>Digital systems may involve confidentiality, privacy, or data protection limitations.</w:t>
      </w:r>
    </w:p>
    <w:p>
      <w:pPr>
        <w:pStyle w:val="ListBullet"/>
      </w:pPr>
      <w:r>
        <w:t>Practitioners should remain aware of where data may be stored, processed, or transmitted.</w:t>
      </w:r>
    </w:p>
    <w:p>
      <w:pPr>
        <w:pStyle w:val="ListBullet"/>
      </w:pPr>
      <w:r>
        <w:t>Reasonable steps should be taken to protect client confidentiality and digital security.</w:t>
      </w:r>
    </w:p>
    <w:p/>
    <w:p>
      <w:r>
        <w:rPr>
          <w:b/>
          <w:sz w:val="32"/>
        </w:rPr>
        <w:t>Human Oversight &amp; Ethical Awareness</w:t>
      </w:r>
    </w:p>
    <w:p>
      <w:pPr>
        <w:pStyle w:val="ListBullet"/>
      </w:pPr>
      <w:r>
        <w:t>AI systems should not replace clinical judgement, practitioner awareness, or ethical responsibility.</w:t>
      </w:r>
    </w:p>
    <w:p>
      <w:pPr>
        <w:pStyle w:val="ListBullet"/>
      </w:pPr>
      <w:r>
        <w:t>Practitioners remain responsible for maintaining trauma-informed awareness, pacing, and nervous-system-sensitive practice.</w:t>
      </w:r>
    </w:p>
    <w:p>
      <w:pPr>
        <w:pStyle w:val="ListBullet"/>
      </w:pPr>
      <w:r>
        <w:t>Digital tools should be used thoughtfully and responsibly in ways that support client wellbeing.</w:t>
      </w:r>
    </w:p>
    <w:p/>
    <w:p>
      <w:r>
        <w:rPr>
          <w:b/>
          <w:sz w:val="32"/>
        </w:rPr>
        <w:t>Consent &amp; Transparency</w:t>
      </w:r>
    </w:p>
    <w:p>
      <w:pPr>
        <w:pStyle w:val="ListBullet"/>
      </w:pPr>
      <w:r>
        <w:t>Clients should be informed where relevant digital tools or AI systems are used.</w:t>
      </w:r>
    </w:p>
    <w:p>
      <w:pPr>
        <w:pStyle w:val="ListBullet"/>
      </w:pPr>
      <w:r>
        <w:t>Practitioners are encouraged to obtain appropriate consent relating to recordings, transcripts, or AI-assisted systems.</w:t>
      </w:r>
    </w:p>
    <w:p>
      <w:pPr>
        <w:pStyle w:val="ListBullet"/>
      </w:pPr>
      <w:r>
        <w:t>Transparency supports trust, professionalism, and ethical online practice.</w:t>
      </w:r>
    </w:p>
    <w:p/>
    <w:p>
      <w:r>
        <w:rPr>
          <w:b/>
          <w:sz w:val="32"/>
        </w:rPr>
        <w:t>Technology Limitations &amp; Risks</w:t>
      </w:r>
    </w:p>
    <w:p>
      <w:pPr>
        <w:pStyle w:val="ListBullet"/>
      </w:pPr>
      <w:r>
        <w:t>AI systems and digital technologies may contain inaccuracies, biases, or technical limitations.</w:t>
      </w:r>
    </w:p>
    <w:p>
      <w:pPr>
        <w:pStyle w:val="ListBullet"/>
      </w:pPr>
      <w:r>
        <w:t>Practitioners should avoid over-reliance on automated systems.</w:t>
      </w:r>
    </w:p>
    <w:p>
      <w:pPr>
        <w:pStyle w:val="ListBullet"/>
      </w:pPr>
      <w:r>
        <w:t>Professional responsibility remains with the practitioner rather than the technology.</w:t>
      </w:r>
    </w:p>
    <w:p/>
    <w:p>
      <w:r>
        <w:rPr>
          <w:b/>
          <w:sz w:val="32"/>
        </w:rPr>
        <w:t>Professional Communication &amp; Digital Conduct</w:t>
      </w:r>
    </w:p>
    <w:p>
      <w:pPr>
        <w:pStyle w:val="ListBullet"/>
      </w:pPr>
      <w:r>
        <w:t>Professional communication standards apply across digital platforms, messaging systems, online communities, and AI-supported environments.</w:t>
      </w:r>
    </w:p>
    <w:p>
      <w:pPr>
        <w:pStyle w:val="ListBullet"/>
      </w:pPr>
      <w:r>
        <w:t>Practitioners are encouraged to maintain professionalism, clarity, and appropriate boundaries online.</w:t>
      </w:r>
    </w:p>
    <w:p/>
    <w:p>
      <w:r>
        <w:rPr>
          <w:b/>
          <w:sz w:val="32"/>
        </w:rPr>
        <w:t>Important Clarification</w:t>
      </w:r>
    </w:p>
    <w:p>
      <w:r>
        <w:t>This guidance is intended as professional educational support and does not constitute legal advice. Practitioners remain responsible for complying with applicable laws, regulations, insurance requirements, and professional responsibilities within their own jurisdiction.</w:t>
      </w:r>
    </w:p>
    <w:p/>
    <w:p>
      <w:pPr>
        <w:jc w:val="center"/>
      </w:pPr>
      <w:r>
        <w:rPr>
          <w:i/>
          <w:sz w:val="20"/>
        </w:rPr>
        <w:t>© 2026 Tania A Prince | MBIR™ International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