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MBIR™ Digital Practice Checklist</w:t>
      </w:r>
    </w:p>
    <w:p>
      <w:pPr>
        <w:jc w:val="center"/>
      </w:pPr>
      <w:r>
        <w:rPr>
          <w:i/>
          <w:sz w:val="22"/>
        </w:rPr>
        <w:t>Professional Standards Companion Resource</w:t>
      </w:r>
    </w:p>
    <w:p/>
    <w:p>
      <w:pPr>
        <w:jc w:val="center"/>
      </w:pPr>
      <w:r>
        <w:t>This checklist is designed to support safe, ethical, trauma-informed, and responsible MBIR™ online practice.</w:t>
      </w:r>
    </w:p>
    <w:p/>
    <w:p>
      <w:r>
        <w:rPr>
          <w:b/>
          <w:sz w:val="32"/>
        </w:rPr>
        <w:t>Before Online Sessions</w:t>
      </w:r>
    </w:p>
    <w:p>
      <w:pPr>
        <w:pStyle w:val="ListBullet"/>
      </w:pPr>
      <w:r>
        <w:t>Ensure a stable internet connection.</w:t>
      </w:r>
    </w:p>
    <w:p>
      <w:pPr>
        <w:pStyle w:val="ListBullet"/>
      </w:pPr>
      <w:r>
        <w:t>Use a private, professional, and calm working environment.</w:t>
      </w:r>
    </w:p>
    <w:p>
      <w:pPr>
        <w:pStyle w:val="ListBullet"/>
      </w:pPr>
      <w:r>
        <w:t>Minimise interruptions, distractions, and background noise.</w:t>
      </w:r>
    </w:p>
    <w:p>
      <w:pPr>
        <w:pStyle w:val="ListBullet"/>
      </w:pPr>
      <w:r>
        <w:t>Ensure devices are fully charged or connected to power.</w:t>
      </w:r>
    </w:p>
    <w:p>
      <w:pPr>
        <w:pStyle w:val="ListBullet"/>
      </w:pPr>
      <w:r>
        <w:t>Test camera, microphone, and platform functionality before sessions.</w:t>
      </w:r>
    </w:p>
    <w:p>
      <w:pPr>
        <w:pStyle w:val="ListBullet"/>
      </w:pPr>
      <w:r>
        <w:t>Use secure and appropriate communication platforms where possible.</w:t>
      </w:r>
    </w:p>
    <w:p/>
    <w:p>
      <w:r>
        <w:rPr>
          <w:b/>
          <w:sz w:val="32"/>
        </w:rPr>
        <w:t>Client Safety &amp; Nervous-System Awareness</w:t>
      </w:r>
    </w:p>
    <w:p>
      <w:pPr>
        <w:pStyle w:val="ListBullet"/>
      </w:pPr>
      <w:r>
        <w:t>Remain aware of signs of overwhelm, shutdown, activation, dissociation, or dysregulation.</w:t>
      </w:r>
    </w:p>
    <w:p>
      <w:pPr>
        <w:pStyle w:val="ListBullet"/>
      </w:pPr>
      <w:r>
        <w:t>Support pacing and present-state awareness where appropriate.</w:t>
      </w:r>
    </w:p>
    <w:p>
      <w:pPr>
        <w:pStyle w:val="ListBullet"/>
      </w:pPr>
      <w:r>
        <w:t>Consider orientation and grounding within online environments.</w:t>
      </w:r>
    </w:p>
    <w:p>
      <w:pPr>
        <w:pStyle w:val="ListBullet"/>
      </w:pPr>
      <w:r>
        <w:t>Avoid unnecessary cognitive overload or overstimulation.</w:t>
      </w:r>
    </w:p>
    <w:p>
      <w:pPr>
        <w:pStyle w:val="ListBullet"/>
      </w:pPr>
      <w:r>
        <w:t>Support safe and regulated session closure.</w:t>
      </w:r>
    </w:p>
    <w:p/>
    <w:p>
      <w:r>
        <w:rPr>
          <w:b/>
          <w:sz w:val="32"/>
        </w:rPr>
        <w:t>Confidentiality &amp; Privacy</w:t>
      </w:r>
    </w:p>
    <w:p>
      <w:pPr>
        <w:pStyle w:val="ListBullet"/>
      </w:pPr>
      <w:r>
        <w:t>Maintain confidentiality within online and digital settings.</w:t>
      </w:r>
    </w:p>
    <w:p>
      <w:pPr>
        <w:pStyle w:val="ListBullet"/>
      </w:pPr>
      <w:r>
        <w:t>Ensure client information is handled responsibly.</w:t>
      </w:r>
    </w:p>
    <w:p>
      <w:pPr>
        <w:pStyle w:val="ListBullet"/>
      </w:pPr>
      <w:r>
        <w:t>Remain aware of data protection responsibilities within your region.</w:t>
      </w:r>
    </w:p>
    <w:p>
      <w:pPr>
        <w:pStyle w:val="ListBullet"/>
      </w:pPr>
      <w:r>
        <w:t>Avoid sharing confidential information through insecure channels.</w:t>
      </w:r>
    </w:p>
    <w:p>
      <w:pPr>
        <w:pStyle w:val="ListBullet"/>
      </w:pPr>
      <w:r>
        <w:t>Clarify confidentiality limitations associated with technology.</w:t>
      </w:r>
    </w:p>
    <w:p/>
    <w:p>
      <w:r>
        <w:rPr>
          <w:b/>
          <w:sz w:val="32"/>
        </w:rPr>
        <w:t>Consent &amp; Recording Awareness</w:t>
      </w:r>
    </w:p>
    <w:p>
      <w:pPr>
        <w:pStyle w:val="ListBullet"/>
      </w:pPr>
      <w:r>
        <w:t>Ensure informed consent has been obtained before commencing online work.</w:t>
      </w:r>
    </w:p>
    <w:p>
      <w:pPr>
        <w:pStyle w:val="ListBullet"/>
      </w:pPr>
      <w:r>
        <w:t>Clarify the nature and limitations of online sessions.</w:t>
      </w:r>
    </w:p>
    <w:p>
      <w:pPr>
        <w:pStyle w:val="ListBullet"/>
      </w:pPr>
      <w:r>
        <w:t>Do not record sessions without informed consent from all relevant parties.</w:t>
      </w:r>
    </w:p>
    <w:p>
      <w:pPr>
        <w:pStyle w:val="ListBullet"/>
      </w:pPr>
      <w:r>
        <w:t>Explain any use of recordings, digital tools, or transcription systems where applicable.</w:t>
      </w:r>
    </w:p>
    <w:p/>
    <w:p>
      <w:r>
        <w:rPr>
          <w:b/>
          <w:sz w:val="32"/>
        </w:rPr>
        <w:t>Professional Communication &amp; Boundaries</w:t>
      </w:r>
    </w:p>
    <w:p>
      <w:pPr>
        <w:pStyle w:val="ListBullet"/>
      </w:pPr>
      <w:r>
        <w:t>Maintain respectful and professional communication.</w:t>
      </w:r>
    </w:p>
    <w:p>
      <w:pPr>
        <w:pStyle w:val="ListBullet"/>
      </w:pPr>
      <w:r>
        <w:t>Maintain appropriate practitioner-client boundaries online.</w:t>
      </w:r>
    </w:p>
    <w:p>
      <w:pPr>
        <w:pStyle w:val="ListBullet"/>
      </w:pPr>
      <w:r>
        <w:t>Ensure social media and messaging interactions remain professional.</w:t>
      </w:r>
    </w:p>
    <w:p>
      <w:pPr>
        <w:pStyle w:val="ListBullet"/>
      </w:pPr>
      <w:r>
        <w:t>Represent qualifications and services ethically and accurately.</w:t>
      </w:r>
    </w:p>
    <w:p/>
    <w:p>
      <w:r>
        <w:rPr>
          <w:b/>
          <w:sz w:val="32"/>
        </w:rPr>
        <w:t>Technology &amp; Digital Responsibility</w:t>
      </w:r>
    </w:p>
    <w:p>
      <w:pPr>
        <w:pStyle w:val="ListBullet"/>
      </w:pPr>
      <w:r>
        <w:t>Remain aware of platform limitations and risks.</w:t>
      </w:r>
    </w:p>
    <w:p>
      <w:pPr>
        <w:pStyle w:val="ListBullet"/>
      </w:pPr>
      <w:r>
        <w:t>Use digital systems responsibly and ethically.</w:t>
      </w:r>
    </w:p>
    <w:p>
      <w:pPr>
        <w:pStyle w:val="ListBullet"/>
      </w:pPr>
      <w:r>
        <w:t>Consider whether digital tools support or compromise client wellbeing.</w:t>
      </w:r>
    </w:p>
    <w:p>
      <w:pPr>
        <w:pStyle w:val="ListBullet"/>
      </w:pPr>
      <w:r>
        <w:t>Maintain awareness of ethical responsibilities when using AI or digital tools.</w:t>
      </w:r>
    </w:p>
    <w:p/>
    <w:p>
      <w:r>
        <w:rPr>
          <w:b/>
          <w:sz w:val="32"/>
        </w:rPr>
        <w:t>Professional Reflection</w:t>
      </w:r>
    </w:p>
    <w:p>
      <w:pPr>
        <w:pStyle w:val="ListBullet"/>
      </w:pPr>
      <w:r>
        <w:t>Did the online environment support safety and professionalism?</w:t>
      </w:r>
    </w:p>
    <w:p>
      <w:pPr>
        <w:pStyle w:val="ListBullet"/>
      </w:pPr>
      <w:r>
        <w:t>Were there signs of dysregulation or overwhelm that required additional pacing?</w:t>
      </w:r>
    </w:p>
    <w:p>
      <w:pPr>
        <w:pStyle w:val="ListBullet"/>
      </w:pPr>
      <w:r>
        <w:t>Did the technology support or interfere with the session?</w:t>
      </w:r>
    </w:p>
    <w:p>
      <w:pPr>
        <w:pStyle w:val="ListBullet"/>
      </w:pPr>
      <w:r>
        <w:t>Were professional boundaries and confidentiality maintained?</w:t>
      </w:r>
    </w:p>
    <w:p>
      <w:pPr>
        <w:pStyle w:val="ListBullet"/>
      </w:pPr>
      <w:r>
        <w:t>Are there any follow-up actions required to support client safety or continuity of care?</w:t>
      </w:r>
    </w:p>
    <w:p/>
    <w:p>
      <w:pPr>
        <w:jc w:val="center"/>
      </w:pPr>
      <w:r>
        <w:rPr>
          <w:i/>
          <w:sz w:val="20"/>
        </w:rPr>
        <w:t>© 2026 Tania A Prince | MBIR™ International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