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4448D"/>
          <w:sz w:val="48"/>
        </w:rPr>
        <w:t>MBIR™ Trainer Professional Expectations</w:t>
      </w:r>
    </w:p>
    <w:p>
      <w:pPr>
        <w:jc w:val="center"/>
      </w:pPr>
      <w:r>
        <w:rPr>
          <w:i/>
          <w:sz w:val="22"/>
        </w:rPr>
        <w:t>Professional Conduct • Ethical Representation • Educational Integrity</w:t>
      </w:r>
    </w:p>
    <w:p/>
    <w:p>
      <w:pPr/>
      <w:r>
        <w:t>This document outlines the current professional expectations associated with MBIR™ trainer development and representation. The intention is to support ethical, regulation-oriented, trauma-informed, and professionally responsible educational delivery as MBIR™ develops internationally.</w:t>
      </w:r>
    </w:p>
    <w:p>
      <w:r>
        <w:rPr>
          <w:b/>
          <w:color w:val="24448D"/>
          <w:sz w:val="30"/>
        </w:rPr>
        <w:t>1. Professional Representation</w:t>
      </w:r>
    </w:p>
    <w:p>
      <w:pPr>
        <w:pStyle w:val="ListBullet"/>
      </w:pPr>
      <w:r>
        <w:rPr>
          <w:sz w:val="22"/>
        </w:rPr>
        <w:t>Represent MBIR™ responsibly, ethically, and professionally.</w:t>
      </w:r>
    </w:p>
    <w:p>
      <w:pPr>
        <w:pStyle w:val="ListBullet"/>
      </w:pPr>
      <w:r>
        <w:rPr>
          <w:sz w:val="22"/>
        </w:rPr>
        <w:t>Avoid exaggerated claims, guarantees, or misleading outcomes.</w:t>
      </w:r>
    </w:p>
    <w:p>
      <w:pPr>
        <w:pStyle w:val="ListBullet"/>
      </w:pPr>
      <w:r>
        <w:rPr>
          <w:sz w:val="22"/>
        </w:rPr>
        <w:t>Communicate the methodology with clarity, integrity, and respect.</w:t>
      </w:r>
    </w:p>
    <w:p>
      <w:r>
        <w:rPr>
          <w:b/>
          <w:color w:val="24448D"/>
          <w:sz w:val="30"/>
        </w:rPr>
        <w:t>2. Ethical Conduct</w:t>
      </w:r>
    </w:p>
    <w:p>
      <w:pPr>
        <w:pStyle w:val="ListBullet"/>
      </w:pPr>
      <w:r>
        <w:rPr>
          <w:sz w:val="22"/>
        </w:rPr>
        <w:t>Maintain appropriate professional boundaries.</w:t>
      </w:r>
    </w:p>
    <w:p>
      <w:pPr>
        <w:pStyle w:val="ListBullet"/>
      </w:pPr>
      <w:r>
        <w:rPr>
          <w:sz w:val="22"/>
        </w:rPr>
        <w:t>Prioritise participant and practitioner safety.</w:t>
      </w:r>
    </w:p>
    <w:p>
      <w:pPr>
        <w:pStyle w:val="ListBullet"/>
      </w:pPr>
      <w:r>
        <w:rPr>
          <w:sz w:val="22"/>
        </w:rPr>
        <w:t>Support respectful, inclusive, and emotionally responsible learning environments.</w:t>
      </w:r>
    </w:p>
    <w:p>
      <w:r>
        <w:rPr>
          <w:b/>
          <w:color w:val="24448D"/>
          <w:sz w:val="30"/>
        </w:rPr>
        <w:t>3. Scope Awareness</w:t>
      </w:r>
    </w:p>
    <w:p>
      <w:pPr>
        <w:pStyle w:val="ListBullet"/>
      </w:pPr>
      <w:r>
        <w:rPr>
          <w:sz w:val="22"/>
        </w:rPr>
        <w:t>Teach within personal competence, training, and professional scope.</w:t>
      </w:r>
    </w:p>
    <w:p>
      <w:pPr>
        <w:pStyle w:val="ListBullet"/>
      </w:pPr>
      <w:r>
        <w:rPr>
          <w:sz w:val="22"/>
        </w:rPr>
        <w:t>Avoid presenting MBIR™ as a replacement for medical, psychiatric, or emergency care.</w:t>
      </w:r>
    </w:p>
    <w:p>
      <w:pPr>
        <w:pStyle w:val="ListBullet"/>
      </w:pPr>
      <w:r>
        <w:rPr>
          <w:sz w:val="22"/>
        </w:rPr>
        <w:t>Recognise when referral or additional professional support may be appropriate.</w:t>
      </w:r>
    </w:p>
    <w:p>
      <w:r>
        <w:rPr>
          <w:b/>
          <w:color w:val="24448D"/>
          <w:sz w:val="30"/>
        </w:rPr>
        <w:t>4. Educational Integrity</w:t>
      </w:r>
    </w:p>
    <w:p>
      <w:pPr>
        <w:pStyle w:val="ListBullet"/>
      </w:pPr>
      <w:r>
        <w:rPr>
          <w:sz w:val="22"/>
        </w:rPr>
        <w:t>Support consistency and integrity within MBIR™ curriculum delivery.</w:t>
      </w:r>
    </w:p>
    <w:p>
      <w:pPr>
        <w:pStyle w:val="ListBullet"/>
      </w:pPr>
      <w:r>
        <w:rPr>
          <w:sz w:val="22"/>
        </w:rPr>
        <w:t>Respect the intellectual property and professional framework of the methodology.</w:t>
      </w:r>
    </w:p>
    <w:p>
      <w:pPr>
        <w:pStyle w:val="ListBullet"/>
      </w:pPr>
      <w:r>
        <w:rPr>
          <w:sz w:val="22"/>
        </w:rPr>
        <w:t>Maintain alignment with core MBIR™ principles and educational standards.</w:t>
      </w:r>
    </w:p>
    <w:p>
      <w:r>
        <w:rPr>
          <w:b/>
          <w:color w:val="24448D"/>
          <w:sz w:val="30"/>
        </w:rPr>
        <w:t>5. Communication Standards</w:t>
      </w:r>
    </w:p>
    <w:p>
      <w:pPr>
        <w:pStyle w:val="ListBullet"/>
      </w:pPr>
      <w:r>
        <w:rPr>
          <w:sz w:val="22"/>
        </w:rPr>
        <w:t>Use professional, respectful, and regulation-oriented communication.</w:t>
      </w:r>
    </w:p>
    <w:p>
      <w:pPr>
        <w:pStyle w:val="ListBullet"/>
      </w:pPr>
      <w:r>
        <w:rPr>
          <w:sz w:val="22"/>
        </w:rPr>
        <w:t>Avoid fear-based, coercive, or emotionally manipulative marketing.</w:t>
      </w:r>
    </w:p>
    <w:p>
      <w:pPr>
        <w:pStyle w:val="ListBullet"/>
      </w:pPr>
      <w:r>
        <w:rPr>
          <w:sz w:val="22"/>
        </w:rPr>
        <w:t>Support responsible online and public representation of MBIR™.</w:t>
      </w:r>
    </w:p>
    <w:p>
      <w:r>
        <w:rPr>
          <w:b/>
          <w:color w:val="24448D"/>
          <w:sz w:val="30"/>
        </w:rPr>
        <w:t>6. Ongoing Professional Development</w:t>
      </w:r>
    </w:p>
    <w:p>
      <w:pPr>
        <w:pStyle w:val="ListBullet"/>
      </w:pPr>
      <w:r>
        <w:rPr>
          <w:sz w:val="22"/>
        </w:rPr>
        <w:t>Engage in reflective practice and ongoing professional learning.</w:t>
      </w:r>
    </w:p>
    <w:p>
      <w:pPr>
        <w:pStyle w:val="ListBullet"/>
      </w:pPr>
      <w:r>
        <w:rPr>
          <w:sz w:val="22"/>
        </w:rPr>
        <w:t>Remain open to continued development, mentoring, and educational growth.</w:t>
      </w:r>
    </w:p>
    <w:p>
      <w:pPr>
        <w:pStyle w:val="ListBullet"/>
      </w:pPr>
      <w:r>
        <w:rPr>
          <w:sz w:val="22"/>
        </w:rPr>
        <w:t>Support the long-term integrity and evolution of the methodology.</w:t>
      </w:r>
    </w:p>
    <w:p/>
    <w:p>
      <w:pPr>
        <w:jc w:val="center"/>
      </w:pPr>
      <w:r>
        <w:rPr>
          <w:i/>
          <w:sz w:val="20"/>
        </w:rPr>
        <w:t>MBIR™ trainer development is intended to support responsible stewardship, ethical leadership, and professional integrity as the methodology develops internationally.</w:t>
      </w:r>
    </w:p>
    <w:p>
      <w:pPr>
        <w:jc w:val="center"/>
      </w:pPr>
      <w:r>
        <w:rPr>
          <w:sz w:val="18"/>
        </w:rPr>
        <w:t>© 2026 Tania A Prince. All rights reserved.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