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MBIR™ Professional Language Principles</w:t>
      </w:r>
    </w:p>
    <w:p>
      <w:pPr>
        <w:jc w:val="center"/>
      </w:pPr>
      <w:r>
        <w:t>Guidance for Ethical, Grounded, and Trauma-Informed Professional Communication</w:t>
      </w:r>
    </w:p>
    <w:p>
      <w:pPr>
        <w:jc w:val="center"/>
      </w:pPr>
      <w:r>
        <w:t>© 2026 Tania A Prince. All rights reserved.</w:t>
      </w:r>
    </w:p>
    <w:p>
      <w:r>
        <w:br/>
        <w:t>This document has been developed to support grounded, ethical, and professionally responsible communication within the MBIR™ practitioner ecosystem.</w:t>
        <w:br/>
        <w:br/>
        <w:t>MBIR™ encourages careful use of language in educational, practitioner, public-facing, and professional contexts. Communication should remain respectful, reflective, non-exaggerated, and trauma-informed while maintaining appropriate distinction between practitioner observation, educational discussion, and established clinical evidence.</w:t>
        <w:br/>
      </w:r>
    </w:p>
    <w:p>
      <w:pPr>
        <w:pStyle w:val="Heading2"/>
      </w:pPr>
      <w:r>
        <w:t>1. Core Communication Principles</w:t>
      </w:r>
    </w:p>
    <w:p>
      <w:r>
        <w:t>MBIR™ encourages communication that is:</w:t>
      </w:r>
    </w:p>
    <w:p>
      <w:r>
        <w:t>• grounded</w:t>
      </w:r>
    </w:p>
    <w:p>
      <w:r>
        <w:t>• trauma-informed</w:t>
      </w:r>
    </w:p>
    <w:p>
      <w:r>
        <w:t>• respectful</w:t>
      </w:r>
    </w:p>
    <w:p>
      <w:r>
        <w:t>• non-coercive</w:t>
      </w:r>
    </w:p>
    <w:p>
      <w:r>
        <w:t>• non-pathologising</w:t>
      </w:r>
    </w:p>
    <w:p>
      <w:r>
        <w:t>• regulation-focused</w:t>
      </w:r>
    </w:p>
    <w:p>
      <w:r>
        <w:t>• professionally responsible.</w:t>
      </w:r>
    </w:p>
    <w:p/>
    <w:p>
      <w:r>
        <w:t>Language should support clarity, safety, and thoughtful educational discussion.</w:t>
      </w:r>
    </w:p>
    <w:p>
      <w:pPr>
        <w:pStyle w:val="Heading2"/>
      </w:pPr>
      <w:r>
        <w:t>2. Recommended Professional Language</w:t>
      </w:r>
    </w:p>
    <w:p>
      <w:r>
        <w:t>Examples of helpful language include:</w:t>
      </w:r>
    </w:p>
    <w:p/>
    <w:p>
      <w:r>
        <w:t>• “supports reflective exploration”</w:t>
      </w:r>
    </w:p>
    <w:p>
      <w:r>
        <w:t>• “may assist regulation awareness”</w:t>
      </w:r>
    </w:p>
    <w:p>
      <w:r>
        <w:t>• “clients sometimes report…”</w:t>
      </w:r>
    </w:p>
    <w:p>
      <w:r>
        <w:t>• “present-state-focused approach”</w:t>
      </w:r>
    </w:p>
    <w:p>
      <w:r>
        <w:t>• “practitioner observations suggest…”</w:t>
      </w:r>
    </w:p>
    <w:p>
      <w:r>
        <w:t>• “awareness-based exploration”</w:t>
      </w:r>
    </w:p>
    <w:p>
      <w:r>
        <w:t>• “regulation-oriented practice”</w:t>
      </w:r>
    </w:p>
    <w:p>
      <w:r>
        <w:t>• “trauma-informed educational approach”</w:t>
      </w:r>
    </w:p>
    <w:p>
      <w:pPr>
        <w:pStyle w:val="Heading2"/>
      </w:pPr>
      <w:r>
        <w:t>3. Language to Avoid</w:t>
      </w:r>
    </w:p>
    <w:p>
      <w:r>
        <w:t>Practitioners are encouraged to avoid exaggerated or absolute language such as:</w:t>
      </w:r>
    </w:p>
    <w:p/>
    <w:p>
      <w:r>
        <w:t>• “guaranteed healing”</w:t>
      </w:r>
    </w:p>
    <w:p>
      <w:r>
        <w:t>• “instant nervous system reset”</w:t>
      </w:r>
    </w:p>
    <w:p>
      <w:r>
        <w:t>• “scientifically proven cure”</w:t>
      </w:r>
    </w:p>
    <w:p>
      <w:r>
        <w:t>• “permanent transformation for everyone”</w:t>
      </w:r>
    </w:p>
    <w:p>
      <w:r>
        <w:t>• “replaces medical treatment”</w:t>
      </w:r>
    </w:p>
    <w:p>
      <w:r>
        <w:t>• “fixes all trauma”</w:t>
      </w:r>
    </w:p>
    <w:p>
      <w:r>
        <w:t>• “rapidly rewires the brain”</w:t>
      </w:r>
    </w:p>
    <w:p>
      <w:pPr>
        <w:pStyle w:val="Heading2"/>
      </w:pPr>
      <w:r>
        <w:t>4. Educational Discussion vs Evidence</w:t>
      </w:r>
    </w:p>
    <w:p>
      <w:r>
        <w:t>Practitioner observations, client experiences, reflective inquiry, and educational discussion should not be presented as formal scientific proof.</w:t>
      </w:r>
    </w:p>
    <w:p/>
    <w:p>
      <w:r>
        <w:t>MBIR™ encourages clear distinction between:</w:t>
      </w:r>
    </w:p>
    <w:p>
      <w:r>
        <w:t>• practitioner experience</w:t>
      </w:r>
    </w:p>
    <w:p>
      <w:r>
        <w:t>• conceptual exploration</w:t>
      </w:r>
    </w:p>
    <w:p>
      <w:r>
        <w:t>• reflective discussion</w:t>
      </w:r>
    </w:p>
    <w:p>
      <w:r>
        <w:t>• observational learning</w:t>
      </w:r>
    </w:p>
    <w:p>
      <w:r>
        <w:t>• and established evidence.</w:t>
      </w:r>
    </w:p>
    <w:p>
      <w:pPr>
        <w:pStyle w:val="Heading2"/>
      </w:pPr>
      <w:r>
        <w:t>5. Social Media &amp; Public Communication</w:t>
      </w:r>
    </w:p>
    <w:p>
      <w:r>
        <w:t>When discussing MBIR™ publicly, practitioners are encouraged to communicate responsibly and ethically.</w:t>
      </w:r>
    </w:p>
    <w:p/>
    <w:p>
      <w:r>
        <w:t>This includes:</w:t>
      </w:r>
    </w:p>
    <w:p>
      <w:r>
        <w:t>• avoiding sensationalism</w:t>
      </w:r>
    </w:p>
    <w:p>
      <w:r>
        <w:t>• avoiding unrealistic promises</w:t>
      </w:r>
    </w:p>
    <w:p>
      <w:r>
        <w:t>• respecting confidentiality</w:t>
      </w:r>
    </w:p>
    <w:p>
      <w:r>
        <w:t>• using measured language</w:t>
      </w:r>
    </w:p>
    <w:p>
      <w:r>
        <w:t>• maintaining professional boundaries</w:t>
      </w:r>
    </w:p>
    <w:p>
      <w:r>
        <w:t>• avoiding fear-based messaging.</w:t>
      </w:r>
    </w:p>
    <w:p>
      <w:pPr>
        <w:pStyle w:val="Heading2"/>
      </w:pPr>
      <w:r>
        <w:t>6. Trauma-Informed Communication</w:t>
      </w:r>
    </w:p>
    <w:p>
      <w:r>
        <w:t>MBIR™ encourages communication that supports emotional safety and nervous-system awareness.</w:t>
      </w:r>
    </w:p>
    <w:p/>
    <w:p>
      <w:r>
        <w:t>Practitioners are encouraged to:</w:t>
      </w:r>
    </w:p>
    <w:p>
      <w:r>
        <w:t>• avoid shaming language</w:t>
      </w:r>
    </w:p>
    <w:p>
      <w:r>
        <w:t>• avoid pathologising communication</w:t>
      </w:r>
    </w:p>
    <w:p>
      <w:r>
        <w:t>• respect individual pacing</w:t>
      </w:r>
    </w:p>
    <w:p>
      <w:r>
        <w:t>• avoid coercive emotional framing</w:t>
      </w:r>
    </w:p>
    <w:p>
      <w:r>
        <w:t>• communicate with calmness and clarity.</w:t>
      </w:r>
    </w:p>
    <w:p>
      <w:pPr>
        <w:pStyle w:val="Heading2"/>
      </w:pPr>
      <w:r>
        <w:t>7. Professional Humility</w:t>
      </w:r>
    </w:p>
    <w:p>
      <w:r>
        <w:t>Professional humility is considered an important aspect of ethical communication.</w:t>
      </w:r>
    </w:p>
    <w:p/>
    <w:p>
      <w:r>
        <w:t>Practitioners are encouraged to remain aware of:</w:t>
      </w:r>
    </w:p>
    <w:p>
      <w:r>
        <w:t>• the limitations of current knowledge</w:t>
      </w:r>
    </w:p>
    <w:p>
      <w:r>
        <w:t>• the individuality of client experiences</w:t>
      </w:r>
    </w:p>
    <w:p>
      <w:r>
        <w:t>• the complexity of nervous-system responses</w:t>
      </w:r>
    </w:p>
    <w:p>
      <w:r>
        <w:t>• the importance of careful interpretation.</w:t>
      </w:r>
    </w:p>
    <w:p>
      <w:pPr>
        <w:pStyle w:val="Heading2"/>
      </w:pPr>
      <w:r>
        <w:t>8. Scope &amp; Responsibility</w:t>
      </w:r>
    </w:p>
    <w:p>
      <w:r>
        <w:t>MBIR™ does not claim to replace appropriate medical, psychological, or psychiatric care.</w:t>
      </w:r>
    </w:p>
    <w:p/>
    <w:p>
      <w:r>
        <w:t>Practitioners are expected to communicate within their training, competence, professional role, and ethical responsibilities.</w:t>
      </w:r>
    </w:p>
    <w:p>
      <w:pPr>
        <w:pStyle w:val="Heading2"/>
      </w:pPr>
      <w:r>
        <w:t>9. Closing Statement</w:t>
      </w:r>
    </w:p>
    <w:p>
      <w:r>
        <w:t>MBIR™ International supports grounded educational discussion, ethical communication, reflective inquiry, and responsible professional development.</w:t>
      </w:r>
    </w:p>
    <w:p/>
    <w:p>
      <w:r>
        <w:t>The methodology encourages thoughtful practitioner dialogue while maintaining professional caution, clarity, and integrity.</w:t>
      </w:r>
    </w:p>
    <w:p>
      <w:pPr>
        <w:jc w:val="center"/>
      </w:pPr>
      <w:r>
        <w:br/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